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7D3B" w14:textId="5BA0E281" w:rsidR="00A76378" w:rsidRDefault="00FC5506">
      <w:pPr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Северобайкальская межрайонная прокуратура разъясняет – об изменениях трудового законодательства</w:t>
      </w:r>
      <w:r w:rsidRPr="00D909A2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14:paraId="125C58A0" w14:textId="77777777" w:rsidR="00FC5506" w:rsidRPr="00573868" w:rsidRDefault="00FC5506" w:rsidP="00FC5506">
      <w:pPr>
        <w:ind w:firstLine="708"/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 w:rsidRPr="00573868">
        <w:rPr>
          <w:rFonts w:ascii="Times New Roman" w:hAnsi="Times New Roman" w:cs="Times New Roman"/>
          <w:color w:val="242424"/>
          <w:sz w:val="27"/>
          <w:szCs w:val="27"/>
        </w:rPr>
        <w:t>Федеральным законом 19 декабря 2022 года № 545-ФЗ статья 351.7 Трудового кодекса РФ  дополнена новой частью 12, согласно которой 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либо после окончания действия заключенного указанным лицом контракта о добровольном содействии в выполнении задач, возложенных на Вооруженные Силы РФ,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РФ,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>Действие положений части 12 статьи 351.7 Трудового кодекса РФ распространяется на правоотношения, возникшие с 21 сентября 2022 года.</w:t>
      </w:r>
    </w:p>
    <w:p w14:paraId="461E457B" w14:textId="77777777" w:rsidR="00FC5506" w:rsidRDefault="00FC5506"/>
    <w:sectPr w:rsidR="00FC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C7"/>
    <w:rsid w:val="007424C7"/>
    <w:rsid w:val="00A76378"/>
    <w:rsid w:val="00F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ED25"/>
  <w15:chartTrackingRefBased/>
  <w15:docId w15:val="{35F0B94A-BDB2-4906-BFF9-1F02322E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2023-02-19T13:17:00Z</dcterms:created>
  <dcterms:modified xsi:type="dcterms:W3CDTF">2023-02-19T13:18:00Z</dcterms:modified>
</cp:coreProperties>
</file>